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6C5B0" w14:textId="4A61861B" w:rsidR="00064B70" w:rsidRPr="00863D8D" w:rsidRDefault="00863D8D" w:rsidP="00863D8D">
      <w:pPr>
        <w:spacing w:after="0" w:line="240" w:lineRule="auto"/>
        <w:jc w:val="both"/>
        <w:rPr>
          <w:noProof/>
          <w:sz w:val="28"/>
          <w:szCs w:val="28"/>
          <w:lang w:val="en-US"/>
        </w:rPr>
      </w:pPr>
      <w:r w:rsidRPr="00863D8D">
        <w:rPr>
          <w:rFonts w:ascii="Times New Roman" w:hAnsi="Times New Roman" w:cs="Times New Roman"/>
          <w:b/>
          <w:bCs/>
          <w:noProof/>
          <w:sz w:val="28"/>
          <w:szCs w:val="28"/>
          <w:u w:val="single"/>
          <w:lang w:val="en-US"/>
        </w:rPr>
        <w:drawing>
          <wp:anchor distT="0" distB="0" distL="114300" distR="114300" simplePos="0" relativeHeight="251658240" behindDoc="0" locked="0" layoutInCell="1" allowOverlap="1" wp14:anchorId="058F95AE" wp14:editId="3D1972ED">
            <wp:simplePos x="0" y="0"/>
            <wp:positionH relativeFrom="column">
              <wp:posOffset>2075815</wp:posOffset>
            </wp:positionH>
            <wp:positionV relativeFrom="paragraph">
              <wp:posOffset>0</wp:posOffset>
            </wp:positionV>
            <wp:extent cx="1438910" cy="1438910"/>
            <wp:effectExtent l="0" t="0" r="8890" b="8890"/>
            <wp:wrapThrough wrapText="bothSides">
              <wp:wrapPolygon edited="0">
                <wp:start x="0" y="0"/>
                <wp:lineTo x="0" y="21447"/>
                <wp:lineTo x="21447" y="21447"/>
                <wp:lineTo x="21447"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anchor>
        </w:drawing>
      </w:r>
    </w:p>
    <w:p w14:paraId="6EEB8A29" w14:textId="1D65184A" w:rsidR="00C525F6" w:rsidRPr="00863D8D" w:rsidRDefault="00C525F6" w:rsidP="00863D8D">
      <w:pPr>
        <w:spacing w:after="0" w:line="240" w:lineRule="auto"/>
        <w:jc w:val="both"/>
        <w:rPr>
          <w:rFonts w:ascii="Times New Roman" w:hAnsi="Times New Roman" w:cs="Times New Roman"/>
          <w:b/>
          <w:bCs/>
          <w:sz w:val="28"/>
          <w:szCs w:val="28"/>
          <w:u w:val="single"/>
          <w:lang w:val="fr-FR"/>
        </w:rPr>
      </w:pPr>
    </w:p>
    <w:p w14:paraId="3851D2E7" w14:textId="77777777" w:rsidR="00C525F6" w:rsidRPr="00863D8D" w:rsidRDefault="00C525F6" w:rsidP="00863D8D">
      <w:pPr>
        <w:spacing w:after="0" w:line="240" w:lineRule="auto"/>
        <w:jc w:val="both"/>
        <w:rPr>
          <w:rFonts w:ascii="Times New Roman" w:hAnsi="Times New Roman" w:cs="Times New Roman"/>
          <w:b/>
          <w:bCs/>
          <w:sz w:val="28"/>
          <w:szCs w:val="28"/>
          <w:u w:val="single"/>
          <w:lang w:val="fr-FR"/>
        </w:rPr>
      </w:pPr>
      <w:bookmarkStart w:id="0" w:name="_GoBack"/>
      <w:bookmarkEnd w:id="0"/>
    </w:p>
    <w:p w14:paraId="569912CB" w14:textId="77777777" w:rsidR="00C525F6" w:rsidRPr="00863D8D" w:rsidRDefault="00C525F6" w:rsidP="00863D8D">
      <w:pPr>
        <w:spacing w:after="0" w:line="240" w:lineRule="auto"/>
        <w:jc w:val="both"/>
        <w:rPr>
          <w:rFonts w:ascii="Times New Roman" w:hAnsi="Times New Roman" w:cs="Times New Roman"/>
          <w:b/>
          <w:bCs/>
          <w:sz w:val="28"/>
          <w:szCs w:val="28"/>
          <w:u w:val="single"/>
          <w:lang w:val="fr-FR"/>
        </w:rPr>
      </w:pPr>
    </w:p>
    <w:p w14:paraId="54F15AE5" w14:textId="77777777" w:rsidR="00C525F6" w:rsidRPr="00863D8D" w:rsidRDefault="00C525F6" w:rsidP="00863D8D">
      <w:pPr>
        <w:spacing w:after="0" w:line="240" w:lineRule="auto"/>
        <w:jc w:val="both"/>
        <w:rPr>
          <w:rFonts w:ascii="Times New Roman" w:hAnsi="Times New Roman" w:cs="Times New Roman"/>
          <w:b/>
          <w:bCs/>
          <w:sz w:val="28"/>
          <w:szCs w:val="28"/>
          <w:u w:val="single"/>
          <w:lang w:val="fr-FR"/>
        </w:rPr>
      </w:pPr>
    </w:p>
    <w:p w14:paraId="189776F0" w14:textId="77777777" w:rsidR="00863D8D" w:rsidRDefault="00863D8D" w:rsidP="00863D8D">
      <w:pPr>
        <w:spacing w:after="0" w:line="240" w:lineRule="auto"/>
        <w:jc w:val="both"/>
        <w:rPr>
          <w:rFonts w:ascii="Times New Roman" w:hAnsi="Times New Roman" w:cs="Times New Roman"/>
          <w:b/>
          <w:bCs/>
          <w:sz w:val="28"/>
          <w:szCs w:val="28"/>
          <w:u w:val="single"/>
          <w:lang w:val="fr-FR"/>
        </w:rPr>
      </w:pPr>
    </w:p>
    <w:p w14:paraId="7E5560AA" w14:textId="77777777" w:rsidR="00863D8D" w:rsidRDefault="00863D8D" w:rsidP="00863D8D">
      <w:pPr>
        <w:spacing w:after="0" w:line="240" w:lineRule="auto"/>
        <w:jc w:val="both"/>
        <w:rPr>
          <w:rFonts w:ascii="Times New Roman" w:hAnsi="Times New Roman" w:cs="Times New Roman"/>
          <w:b/>
          <w:bCs/>
          <w:sz w:val="28"/>
          <w:szCs w:val="28"/>
          <w:u w:val="single"/>
          <w:lang w:val="fr-FR"/>
        </w:rPr>
      </w:pPr>
    </w:p>
    <w:p w14:paraId="134A63B0" w14:textId="77777777" w:rsidR="00863D8D" w:rsidRDefault="00863D8D" w:rsidP="00863D8D">
      <w:pPr>
        <w:spacing w:after="0" w:line="240" w:lineRule="auto"/>
        <w:jc w:val="both"/>
        <w:rPr>
          <w:rFonts w:ascii="Times New Roman" w:hAnsi="Times New Roman" w:cs="Times New Roman"/>
          <w:b/>
          <w:bCs/>
          <w:sz w:val="28"/>
          <w:szCs w:val="28"/>
          <w:u w:val="single"/>
          <w:lang w:val="fr-FR"/>
        </w:rPr>
      </w:pPr>
    </w:p>
    <w:p w14:paraId="3425EAC6" w14:textId="3CF16206" w:rsidR="00487324" w:rsidRPr="00863D8D" w:rsidRDefault="00487324" w:rsidP="00863D8D">
      <w:pPr>
        <w:spacing w:after="0" w:line="240" w:lineRule="auto"/>
        <w:jc w:val="center"/>
        <w:rPr>
          <w:rFonts w:ascii="Times New Roman" w:hAnsi="Times New Roman" w:cs="Times New Roman"/>
          <w:b/>
          <w:bCs/>
          <w:sz w:val="28"/>
          <w:szCs w:val="28"/>
          <w:u w:val="single"/>
          <w:lang w:val="fr-FR"/>
        </w:rPr>
      </w:pPr>
      <w:r w:rsidRPr="00863D8D">
        <w:rPr>
          <w:rFonts w:ascii="Times New Roman" w:hAnsi="Times New Roman" w:cs="Times New Roman"/>
          <w:b/>
          <w:bCs/>
          <w:sz w:val="28"/>
          <w:szCs w:val="28"/>
          <w:u w:val="single"/>
          <w:lang w:val="fr-FR"/>
        </w:rPr>
        <w:t>NOTE EXPLICATIVE: POINT 4 DE L'ORDRE DU JOUR</w:t>
      </w:r>
    </w:p>
    <w:p w14:paraId="438327A6" w14:textId="2DAC73EA" w:rsidR="00FF5DAB" w:rsidRPr="00863D8D" w:rsidRDefault="00487324" w:rsidP="00863D8D">
      <w:pPr>
        <w:spacing w:after="0" w:line="240" w:lineRule="auto"/>
        <w:jc w:val="center"/>
        <w:rPr>
          <w:rFonts w:ascii="Times New Roman" w:hAnsi="Times New Roman" w:cs="Times New Roman"/>
          <w:b/>
          <w:bCs/>
          <w:sz w:val="28"/>
          <w:szCs w:val="28"/>
          <w:u w:val="single"/>
          <w:lang w:val="fr-FR"/>
        </w:rPr>
      </w:pPr>
      <w:r w:rsidRPr="00863D8D">
        <w:rPr>
          <w:rFonts w:ascii="Times New Roman" w:hAnsi="Times New Roman" w:cs="Times New Roman"/>
          <w:b/>
          <w:bCs/>
          <w:sz w:val="28"/>
          <w:szCs w:val="28"/>
          <w:u w:val="single"/>
          <w:lang w:val="fr-FR"/>
        </w:rPr>
        <w:t>DOCUMENT CADRE POUR L'ASSOCIATION ISLAMIQUE DE TRANSFORMATION ALIMENTAIRE</w:t>
      </w:r>
    </w:p>
    <w:p w14:paraId="625207DA" w14:textId="77777777" w:rsidR="00C525F6" w:rsidRPr="00863D8D" w:rsidRDefault="00C525F6" w:rsidP="00863D8D">
      <w:pPr>
        <w:spacing w:after="0" w:line="240" w:lineRule="auto"/>
        <w:jc w:val="both"/>
        <w:rPr>
          <w:rFonts w:ascii="Times New Roman" w:hAnsi="Times New Roman" w:cs="Times New Roman"/>
          <w:b/>
          <w:bCs/>
          <w:sz w:val="28"/>
          <w:szCs w:val="28"/>
          <w:lang w:val="fr-FR"/>
        </w:rPr>
      </w:pPr>
    </w:p>
    <w:p w14:paraId="2EA00120" w14:textId="5A008DF0" w:rsidR="00254061" w:rsidRPr="00863D8D" w:rsidRDefault="00254061" w:rsidP="00863D8D">
      <w:pPr>
        <w:spacing w:after="0" w:line="240" w:lineRule="auto"/>
        <w:jc w:val="both"/>
        <w:rPr>
          <w:rFonts w:ascii="Times New Roman" w:hAnsi="Times New Roman" w:cs="Times New Roman"/>
          <w:b/>
          <w:bCs/>
          <w:sz w:val="28"/>
          <w:szCs w:val="28"/>
          <w:lang w:val="fr-FR"/>
        </w:rPr>
      </w:pPr>
      <w:r w:rsidRPr="00863D8D">
        <w:rPr>
          <w:rFonts w:ascii="Times New Roman" w:hAnsi="Times New Roman" w:cs="Times New Roman"/>
          <w:b/>
          <w:bCs/>
          <w:sz w:val="28"/>
          <w:szCs w:val="28"/>
          <w:lang w:val="fr-FR"/>
        </w:rPr>
        <w:t>Pr</w:t>
      </w:r>
      <w:r w:rsidR="00487324" w:rsidRPr="00863D8D">
        <w:rPr>
          <w:rFonts w:ascii="Times New Roman" w:hAnsi="Times New Roman" w:cs="Times New Roman"/>
          <w:b/>
          <w:bCs/>
          <w:sz w:val="28"/>
          <w:szCs w:val="28"/>
          <w:lang w:val="fr-FR"/>
        </w:rPr>
        <w:t>é</w:t>
      </w:r>
      <w:r w:rsidRPr="00863D8D">
        <w:rPr>
          <w:rFonts w:ascii="Times New Roman" w:hAnsi="Times New Roman" w:cs="Times New Roman"/>
          <w:b/>
          <w:bCs/>
          <w:sz w:val="28"/>
          <w:szCs w:val="28"/>
          <w:lang w:val="fr-FR"/>
        </w:rPr>
        <w:t>amb</w:t>
      </w:r>
      <w:r w:rsidR="00487324" w:rsidRPr="00863D8D">
        <w:rPr>
          <w:rFonts w:ascii="Times New Roman" w:hAnsi="Times New Roman" w:cs="Times New Roman"/>
          <w:b/>
          <w:bCs/>
          <w:sz w:val="28"/>
          <w:szCs w:val="28"/>
          <w:lang w:val="fr-FR"/>
        </w:rPr>
        <w:t>u</w:t>
      </w:r>
      <w:r w:rsidRPr="00863D8D">
        <w:rPr>
          <w:rFonts w:ascii="Times New Roman" w:hAnsi="Times New Roman" w:cs="Times New Roman"/>
          <w:b/>
          <w:bCs/>
          <w:sz w:val="28"/>
          <w:szCs w:val="28"/>
          <w:lang w:val="fr-FR"/>
        </w:rPr>
        <w:t>le</w:t>
      </w:r>
    </w:p>
    <w:p w14:paraId="5C70A084" w14:textId="146FBF7F" w:rsidR="0080382F" w:rsidRPr="00863D8D" w:rsidRDefault="00487324" w:rsidP="00863D8D">
      <w:pPr>
        <w:spacing w:after="0" w:line="240" w:lineRule="auto"/>
        <w:jc w:val="both"/>
        <w:rPr>
          <w:rFonts w:ascii="Times New Roman" w:hAnsi="Times New Roman" w:cs="Times New Roman"/>
          <w:sz w:val="28"/>
          <w:szCs w:val="28"/>
          <w:lang w:val="fr-FR"/>
        </w:rPr>
      </w:pPr>
      <w:r w:rsidRPr="00863D8D">
        <w:rPr>
          <w:rFonts w:ascii="Times New Roman" w:hAnsi="Times New Roman" w:cs="Times New Roman"/>
          <w:sz w:val="28"/>
          <w:szCs w:val="28"/>
          <w:lang w:val="fr-FR"/>
        </w:rPr>
        <w:t>La Résolution N° OIC / ICAM-5/2010 / RES / FINAL adoptée par la 5e Conférence ministérielle de l'OCI sur la promotion de la sécurité alimentaire et du développement agricole, tenue à Khartoum, République du Soudan du 26 au 28 octobre 2010, prévoyait une approche de la chaîne de valeur de l'agriculture et l'amélioration du fonctionnement du marché, la meilleure gestion des récoltes et la résolution des problèmes liés au changement climatique. En outre, la Résolution N° IOFS / GA / 1-14-2019 de la 2e Assemblée Générale de l'OISA tenue à Jeddah, Arabie Saoudite les 18-19 août 2019 a demandé au Secrétariat de l'OISA de coordonner les activités en vue de l'établissement de l'Association Islamique de Transformation Alimentaire (IFPA) dans le cadre de l'objectif principal de réduction des pertes après récolte</w:t>
      </w:r>
      <w:r w:rsidR="0080382F" w:rsidRPr="00863D8D">
        <w:rPr>
          <w:rFonts w:ascii="Times New Roman" w:hAnsi="Times New Roman" w:cs="Times New Roman"/>
          <w:sz w:val="28"/>
          <w:szCs w:val="28"/>
          <w:lang w:val="fr-FR"/>
        </w:rPr>
        <w:t>.</w:t>
      </w:r>
    </w:p>
    <w:p w14:paraId="0C55AE6A" w14:textId="77777777" w:rsidR="00863D8D" w:rsidRDefault="00863D8D" w:rsidP="00863D8D">
      <w:pPr>
        <w:spacing w:after="0" w:line="240" w:lineRule="auto"/>
        <w:jc w:val="both"/>
        <w:rPr>
          <w:rFonts w:ascii="Times New Roman" w:hAnsi="Times New Roman" w:cs="Times New Roman"/>
          <w:b/>
          <w:bCs/>
          <w:sz w:val="28"/>
          <w:szCs w:val="28"/>
          <w:lang w:val="fr-FR"/>
        </w:rPr>
      </w:pPr>
    </w:p>
    <w:p w14:paraId="68905962" w14:textId="402FFEFB" w:rsidR="0080382F" w:rsidRPr="00863D8D" w:rsidRDefault="00487324" w:rsidP="00863D8D">
      <w:pPr>
        <w:spacing w:after="0" w:line="240" w:lineRule="auto"/>
        <w:jc w:val="both"/>
        <w:rPr>
          <w:rFonts w:ascii="Times New Roman" w:hAnsi="Times New Roman" w:cs="Times New Roman"/>
          <w:b/>
          <w:bCs/>
          <w:sz w:val="28"/>
          <w:szCs w:val="28"/>
          <w:lang w:val="fr-FR"/>
        </w:rPr>
      </w:pPr>
      <w:r w:rsidRPr="00863D8D">
        <w:rPr>
          <w:rFonts w:ascii="Times New Roman" w:hAnsi="Times New Roman" w:cs="Times New Roman"/>
          <w:b/>
          <w:bCs/>
          <w:sz w:val="28"/>
          <w:szCs w:val="28"/>
          <w:lang w:val="fr-FR"/>
        </w:rPr>
        <w:t>Le suivi</w:t>
      </w:r>
    </w:p>
    <w:p w14:paraId="10EC1982" w14:textId="77777777" w:rsidR="00C525F6" w:rsidRPr="00863D8D" w:rsidRDefault="00C525F6" w:rsidP="00863D8D">
      <w:pPr>
        <w:spacing w:line="240" w:lineRule="auto"/>
        <w:jc w:val="both"/>
        <w:rPr>
          <w:rFonts w:ascii="Times New Roman" w:hAnsi="Times New Roman" w:cs="Times New Roman"/>
          <w:sz w:val="28"/>
          <w:szCs w:val="28"/>
          <w:lang w:val="fr-FR"/>
        </w:rPr>
      </w:pPr>
      <w:r w:rsidRPr="00863D8D">
        <w:rPr>
          <w:rFonts w:ascii="Times New Roman" w:hAnsi="Times New Roman" w:cs="Times New Roman"/>
          <w:sz w:val="28"/>
          <w:szCs w:val="28"/>
          <w:lang w:val="fr-FR"/>
        </w:rPr>
        <w:t>L'IFPA, en tant qu'entité juridique distincte engageant le secteur privé, sera une filiale de l'OISA conformément au Statut de l'OISA. L'IFPA représente un mécanisme pour relever les défis du gaspillage alimentaire et des pertes après récolte dans les États membres de l'OCI et de l'OISA. L'IFPA servira de plate-forme pour tous les engagements interentreprises sur l'ensemble des marchés agroalimentaires de l'OCI. L'IFPA facilitera directement tous les échanges agroalimentaires intra-OCI entre les États membres à travers l'ensemble de la chaîne de valeur alimentaire, y compris la promotion du plaidoyer et des liens commerciaux dans le domaine de la transformation des aliments parmi les transformateurs alimentaires et les producteurs connexes dans l'ensemble de la chaîne de valeur et tous les les institutions de soutien alimentaire telles que les banques, les instituts de formation professionnelle et de recherche, les agences de normalisation, les associations d'agriculteurs, les syndicats de l'alimentation et tous les organes de coordination pertinents pour l'agroalimentaire, ainsi que l'identification des partenariats potentiels et des opportunités d'investissement dans le domaine de la transformation des aliments sur la base de mécanismes efficaces États membres de l'OCI et de l'OISA.</w:t>
      </w:r>
    </w:p>
    <w:p w14:paraId="4C9B4C2B" w14:textId="77777777" w:rsidR="00C525F6" w:rsidRPr="00863D8D" w:rsidRDefault="00C525F6" w:rsidP="00863D8D">
      <w:pPr>
        <w:spacing w:line="240" w:lineRule="auto"/>
        <w:jc w:val="both"/>
        <w:rPr>
          <w:rFonts w:ascii="Times New Roman" w:hAnsi="Times New Roman" w:cs="Times New Roman"/>
          <w:sz w:val="28"/>
          <w:szCs w:val="28"/>
          <w:lang w:val="fr-FR"/>
        </w:rPr>
      </w:pPr>
      <w:r w:rsidRPr="00863D8D">
        <w:rPr>
          <w:rFonts w:ascii="Times New Roman" w:hAnsi="Times New Roman" w:cs="Times New Roman"/>
          <w:sz w:val="28"/>
          <w:szCs w:val="28"/>
          <w:lang w:val="fr-FR"/>
        </w:rPr>
        <w:t xml:space="preserve">L'OISA a mandaté un cabinet de conseil international avec une expertise dans l'OCI et les chaînes d'approvisionnement agroalimentaires mondiales, Dinar Standard, basé à Dubaï, aux Émirats arabes unis, pour préparer une étude de faisabilité et un plan d'affaires pour la création et les opérations de l'IFPA. Dinar Standard a une énorme </w:t>
      </w:r>
      <w:r w:rsidRPr="00863D8D">
        <w:rPr>
          <w:rFonts w:ascii="Times New Roman" w:hAnsi="Times New Roman" w:cs="Times New Roman"/>
          <w:sz w:val="28"/>
          <w:szCs w:val="28"/>
          <w:lang w:val="fr-FR"/>
        </w:rPr>
        <w:lastRenderedPageBreak/>
        <w:t>richesse d'expérience dans ce domaine, ayant déjà été chargé de faire de même par d'autres entités subsidiaires de l'OCI et par divers organes au sein du Groupe de la Banque islamique de développement ainsi que d'autres organismes multilatéraux et sociétés multinationales.</w:t>
      </w:r>
    </w:p>
    <w:p w14:paraId="7CC5F372" w14:textId="77777777" w:rsidR="00C525F6" w:rsidRPr="00863D8D" w:rsidRDefault="00C525F6" w:rsidP="00863D8D">
      <w:pPr>
        <w:spacing w:line="240" w:lineRule="auto"/>
        <w:jc w:val="both"/>
        <w:rPr>
          <w:rFonts w:ascii="Times New Roman" w:hAnsi="Times New Roman" w:cs="Times New Roman"/>
          <w:sz w:val="28"/>
          <w:szCs w:val="28"/>
          <w:lang w:val="fr-FR"/>
        </w:rPr>
      </w:pPr>
      <w:r w:rsidRPr="00863D8D">
        <w:rPr>
          <w:rFonts w:ascii="Times New Roman" w:hAnsi="Times New Roman" w:cs="Times New Roman"/>
          <w:sz w:val="28"/>
          <w:szCs w:val="28"/>
          <w:lang w:val="fr-FR"/>
        </w:rPr>
        <w:t>Il est proposé que l'IFPA soit établi au Centre financier international d'Astana («AIFC»). L’AIFC, en tant que juridiction internationale de droit commun, fournit un cadre réglementaire solide et des normes internationales nécessaires aux opérations de l’IFPA sur les marchés de l’OCI / IOFS. L'AIFC est basé sur la juridiction de common law anglaise qui est déjà largement connue et couramment utilisée dans les États membres de l'OCI et de l'OISA, ce qui permet donc à l'IFPA d'être enregistrée dans une juridiction juridique internationale la plus courante sur les marchés de l'OCI / OISA et d'éviter également l'IFPA. d'être soumis aux lois nationales d'un État membre de l'OISA particulier aux frais des autres États membres de l'OCI / OISA. De plus, l'AIFC est situé sur le territoire de la République du Kazakhstan, qui est le siège de l'OISA en tant qu'organisation mère de l'IFPA, et il est extrêmement important que l'OISA et l'IFPA soient situés au même siège pour avoir des opérations directes et plus proches.</w:t>
      </w:r>
    </w:p>
    <w:p w14:paraId="474FC929" w14:textId="1C4C8706" w:rsidR="002E7344" w:rsidRPr="00863D8D" w:rsidRDefault="00C525F6" w:rsidP="00863D8D">
      <w:pPr>
        <w:spacing w:line="240" w:lineRule="auto"/>
        <w:jc w:val="both"/>
        <w:rPr>
          <w:rFonts w:ascii="Times New Roman" w:hAnsi="Times New Roman" w:cs="Times New Roman"/>
          <w:sz w:val="28"/>
          <w:szCs w:val="28"/>
          <w:lang w:val="fr-FR"/>
        </w:rPr>
      </w:pPr>
      <w:r w:rsidRPr="00863D8D">
        <w:rPr>
          <w:rFonts w:ascii="Times New Roman" w:hAnsi="Times New Roman" w:cs="Times New Roman"/>
          <w:sz w:val="28"/>
          <w:szCs w:val="28"/>
          <w:lang w:val="fr-FR"/>
        </w:rPr>
        <w:t xml:space="preserve">L'organisme de réglementation de l'AIFC, connu sous le nom d'Astana Financial Services Authority (AFSA), exige qu'un signataire autorisé de l'OISA signe tous les documents nécessaires pour établir l'IFPA en tant qu'entité subsidiaire de l'OISA. Étant donné que l'OISA est un organisme multilatéral représenté par des États membres sous la forme d'une assemblée générale qui ne sont pas des personnes morales physiques, il est donc tenu par l'AFSA que le </w:t>
      </w:r>
      <w:r w:rsidR="000D1A19" w:rsidRPr="00863D8D">
        <w:rPr>
          <w:rFonts w:ascii="Times New Roman" w:hAnsi="Times New Roman" w:cs="Times New Roman"/>
          <w:sz w:val="28"/>
          <w:szCs w:val="28"/>
          <w:lang w:val="fr-FR"/>
        </w:rPr>
        <w:t>P</w:t>
      </w:r>
      <w:r w:rsidRPr="00863D8D">
        <w:rPr>
          <w:rFonts w:ascii="Times New Roman" w:hAnsi="Times New Roman" w:cs="Times New Roman"/>
          <w:sz w:val="28"/>
          <w:szCs w:val="28"/>
          <w:lang w:val="fr-FR"/>
        </w:rPr>
        <w:t xml:space="preserve">résident du Conseil Excutif de l'OISA signe et </w:t>
      </w:r>
      <w:r w:rsidR="000D1A19" w:rsidRPr="00863D8D">
        <w:rPr>
          <w:rFonts w:ascii="Times New Roman" w:hAnsi="Times New Roman" w:cs="Times New Roman"/>
          <w:sz w:val="28"/>
          <w:szCs w:val="28"/>
          <w:lang w:val="fr-FR"/>
        </w:rPr>
        <w:t>exécute tous les documents au nom de l'OISA concernant l’établissement de l'IFPA en tant qu'organisation à but non lucratif à l'AIFC</w:t>
      </w:r>
      <w:r w:rsidR="002E7344" w:rsidRPr="00863D8D">
        <w:rPr>
          <w:rFonts w:ascii="Times New Roman" w:hAnsi="Times New Roman" w:cs="Times New Roman"/>
          <w:sz w:val="28"/>
          <w:szCs w:val="28"/>
          <w:lang w:val="fr-FR"/>
        </w:rPr>
        <w:t xml:space="preserve">. </w:t>
      </w:r>
    </w:p>
    <w:p w14:paraId="14F2F393" w14:textId="77777777" w:rsidR="00863D8D" w:rsidRDefault="00C525F6" w:rsidP="00863D8D">
      <w:pPr>
        <w:spacing w:after="0" w:line="240" w:lineRule="auto"/>
        <w:jc w:val="both"/>
        <w:rPr>
          <w:rFonts w:ascii="Times New Roman" w:hAnsi="Times New Roman" w:cs="Times New Roman"/>
          <w:b/>
          <w:bCs/>
          <w:sz w:val="28"/>
          <w:szCs w:val="28"/>
          <w:lang w:val="fr-FR"/>
        </w:rPr>
      </w:pPr>
      <w:r w:rsidRPr="00863D8D">
        <w:rPr>
          <w:rFonts w:ascii="Times New Roman" w:hAnsi="Times New Roman" w:cs="Times New Roman"/>
          <w:b/>
          <w:bCs/>
          <w:sz w:val="28"/>
          <w:szCs w:val="28"/>
          <w:lang w:val="fr-FR"/>
        </w:rPr>
        <w:t>La c</w:t>
      </w:r>
      <w:r w:rsidR="00546F64" w:rsidRPr="00863D8D">
        <w:rPr>
          <w:rFonts w:ascii="Times New Roman" w:hAnsi="Times New Roman" w:cs="Times New Roman"/>
          <w:b/>
          <w:bCs/>
          <w:sz w:val="28"/>
          <w:szCs w:val="28"/>
          <w:lang w:val="fr-FR"/>
        </w:rPr>
        <w:t>onclusion</w:t>
      </w:r>
    </w:p>
    <w:p w14:paraId="4BAED746" w14:textId="3B99C3A2" w:rsidR="00546F64" w:rsidRPr="00863D8D" w:rsidRDefault="00C525F6" w:rsidP="00863D8D">
      <w:pPr>
        <w:spacing w:after="0" w:line="240" w:lineRule="auto"/>
        <w:jc w:val="both"/>
        <w:rPr>
          <w:rFonts w:ascii="Times New Roman" w:hAnsi="Times New Roman" w:cs="Times New Roman"/>
          <w:sz w:val="28"/>
          <w:szCs w:val="28"/>
          <w:lang w:val="fr-FR"/>
        </w:rPr>
      </w:pPr>
      <w:r w:rsidRPr="00863D8D">
        <w:rPr>
          <w:rFonts w:ascii="Times New Roman" w:hAnsi="Times New Roman" w:cs="Times New Roman"/>
          <w:sz w:val="28"/>
          <w:szCs w:val="28"/>
          <w:lang w:val="fr-FR"/>
        </w:rPr>
        <w:t>L'Assemblée Générale passera en revue tous les documents de référence ainsi que le résumé du rapport du cabinet de conseil international sur l'IFPA et souhaitera peut-être adopter la résolution qui permettra à l'OISA d'établir la nouvelle entité juridique de l'IFPA en tant que filiale de l'OISA dans la juridiction de l'AIFC</w:t>
      </w:r>
      <w:r w:rsidR="00AF07DB" w:rsidRPr="00863D8D">
        <w:rPr>
          <w:rFonts w:ascii="Times New Roman" w:hAnsi="Times New Roman" w:cs="Times New Roman"/>
          <w:sz w:val="28"/>
          <w:szCs w:val="28"/>
          <w:lang w:val="fr-FR"/>
        </w:rPr>
        <w:t xml:space="preserve">. </w:t>
      </w:r>
    </w:p>
    <w:sectPr w:rsidR="00546F64" w:rsidRPr="00863D8D" w:rsidSect="00863D8D">
      <w:footerReference w:type="default" r:id="rId8"/>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0B1EC" w14:textId="77777777" w:rsidR="002B0B89" w:rsidRDefault="002B0B89" w:rsidP="0059348B">
      <w:pPr>
        <w:spacing w:after="0" w:line="240" w:lineRule="auto"/>
      </w:pPr>
      <w:r>
        <w:separator/>
      </w:r>
    </w:p>
  </w:endnote>
  <w:endnote w:type="continuationSeparator" w:id="0">
    <w:p w14:paraId="5BDFFDB3" w14:textId="77777777" w:rsidR="002B0B89" w:rsidRDefault="002B0B89"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361819"/>
      <w:docPartObj>
        <w:docPartGallery w:val="Page Numbers (Bottom of Page)"/>
        <w:docPartUnique/>
      </w:docPartObj>
    </w:sdtPr>
    <w:sdtEndPr/>
    <w:sdtContent>
      <w:p w14:paraId="50F0988C" w14:textId="0843B112" w:rsidR="00064B70" w:rsidRDefault="00064B70">
        <w:pPr>
          <w:pStyle w:val="a8"/>
          <w:jc w:val="right"/>
        </w:pPr>
        <w:r>
          <w:fldChar w:fldCharType="begin"/>
        </w:r>
        <w:r>
          <w:instrText>PAGE   \* MERGEFORMAT</w:instrText>
        </w:r>
        <w:r>
          <w:fldChar w:fldCharType="separate"/>
        </w:r>
        <w:r w:rsidR="00863D8D" w:rsidRPr="00863D8D">
          <w:rPr>
            <w:noProof/>
            <w:lang w:val="ru-RU"/>
          </w:rPr>
          <w:t>1</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E4A1F" w14:textId="77777777" w:rsidR="002B0B89" w:rsidRDefault="002B0B89" w:rsidP="0059348B">
      <w:pPr>
        <w:spacing w:after="0" w:line="240" w:lineRule="auto"/>
      </w:pPr>
      <w:r>
        <w:separator/>
      </w:r>
    </w:p>
  </w:footnote>
  <w:footnote w:type="continuationSeparator" w:id="0">
    <w:p w14:paraId="475B739A" w14:textId="77777777" w:rsidR="002B0B89" w:rsidRDefault="002B0B89"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4"/>
  </w:num>
  <w:num w:numId="5">
    <w:abstractNumId w:val="6"/>
  </w:num>
  <w:num w:numId="6">
    <w:abstractNumId w:val="0"/>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D0D"/>
    <w:rsid w:val="0003554F"/>
    <w:rsid w:val="0005242E"/>
    <w:rsid w:val="00064B70"/>
    <w:rsid w:val="000B0126"/>
    <w:rsid w:val="000D1A19"/>
    <w:rsid w:val="001141CA"/>
    <w:rsid w:val="00127EB1"/>
    <w:rsid w:val="00130B7E"/>
    <w:rsid w:val="00193782"/>
    <w:rsid w:val="0019674C"/>
    <w:rsid w:val="001C099B"/>
    <w:rsid w:val="00207DCC"/>
    <w:rsid w:val="002263A1"/>
    <w:rsid w:val="00254061"/>
    <w:rsid w:val="0025738B"/>
    <w:rsid w:val="00294957"/>
    <w:rsid w:val="00296F54"/>
    <w:rsid w:val="002B0B89"/>
    <w:rsid w:val="002C56B4"/>
    <w:rsid w:val="002E7344"/>
    <w:rsid w:val="002F1ED8"/>
    <w:rsid w:val="002F5A8A"/>
    <w:rsid w:val="00324225"/>
    <w:rsid w:val="00332A0C"/>
    <w:rsid w:val="0034246A"/>
    <w:rsid w:val="00361875"/>
    <w:rsid w:val="003671AB"/>
    <w:rsid w:val="003F740D"/>
    <w:rsid w:val="00415A3A"/>
    <w:rsid w:val="00421F19"/>
    <w:rsid w:val="00436E75"/>
    <w:rsid w:val="00453D0D"/>
    <w:rsid w:val="0046338A"/>
    <w:rsid w:val="00487324"/>
    <w:rsid w:val="004C3378"/>
    <w:rsid w:val="004D4C72"/>
    <w:rsid w:val="004E674E"/>
    <w:rsid w:val="00546F64"/>
    <w:rsid w:val="0059348B"/>
    <w:rsid w:val="00606F90"/>
    <w:rsid w:val="00632130"/>
    <w:rsid w:val="00667873"/>
    <w:rsid w:val="00675232"/>
    <w:rsid w:val="00680DE1"/>
    <w:rsid w:val="00683265"/>
    <w:rsid w:val="0069129B"/>
    <w:rsid w:val="00693BE3"/>
    <w:rsid w:val="007266FB"/>
    <w:rsid w:val="00742830"/>
    <w:rsid w:val="00753EDA"/>
    <w:rsid w:val="00755AD7"/>
    <w:rsid w:val="00766D52"/>
    <w:rsid w:val="007969A0"/>
    <w:rsid w:val="0080382F"/>
    <w:rsid w:val="008456F9"/>
    <w:rsid w:val="00863D8D"/>
    <w:rsid w:val="00866B9F"/>
    <w:rsid w:val="008A2410"/>
    <w:rsid w:val="008F17B9"/>
    <w:rsid w:val="009B46F4"/>
    <w:rsid w:val="009C2F13"/>
    <w:rsid w:val="00A15561"/>
    <w:rsid w:val="00AF07DB"/>
    <w:rsid w:val="00B42039"/>
    <w:rsid w:val="00B57871"/>
    <w:rsid w:val="00BB1FB4"/>
    <w:rsid w:val="00BB526F"/>
    <w:rsid w:val="00BF61C7"/>
    <w:rsid w:val="00C0666C"/>
    <w:rsid w:val="00C15671"/>
    <w:rsid w:val="00C20DD8"/>
    <w:rsid w:val="00C25A9C"/>
    <w:rsid w:val="00C46B5C"/>
    <w:rsid w:val="00C525F6"/>
    <w:rsid w:val="00D12BB0"/>
    <w:rsid w:val="00D33843"/>
    <w:rsid w:val="00D9329A"/>
    <w:rsid w:val="00DB1B01"/>
    <w:rsid w:val="00DF445D"/>
    <w:rsid w:val="00E3359B"/>
    <w:rsid w:val="00F0058C"/>
    <w:rsid w:val="00F476F9"/>
    <w:rsid w:val="00F71FDA"/>
    <w:rsid w:val="00FB55EC"/>
    <w:rsid w:val="00FC6EA1"/>
    <w:rsid w:val="00FD644E"/>
    <w:rsid w:val="00FE2E7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4154</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speCtre</cp:lastModifiedBy>
  <cp:revision>2</cp:revision>
  <dcterms:created xsi:type="dcterms:W3CDTF">2020-11-06T05:57:00Z</dcterms:created>
  <dcterms:modified xsi:type="dcterms:W3CDTF">2020-11-06T05:57:00Z</dcterms:modified>
</cp:coreProperties>
</file>